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2011 251 vom 14. März 2012</w:t>
      </w:r>
    </w:p>
    <w:p>
      <w:r>
        <w:t>BL Gerichte, 2012-03-14, DE</w:t>
      </w:r>
    </w:p>
    <w:p>
      <w:r>
        <w:rPr>
          <w:b/>
        </w:rPr>
        <w:t xml:space="preserve">Quelle: </w:t>
      </w:r>
      <w:r>
        <w:t>https://mcp.opencaselaw.ch/entscheid/bl_gerichte_810 2011 251</w:t>
      </w:r>
    </w:p>
    <w:p>
      <w:r>
        <w:t>FR: BL_GERICHTE 810 2011 251 du 14 mars 2012</w:t>
      </w:r>
    </w:p>
    <w:p>
      <w:r>
        <w:t>IT: BL_GERICHTE 810 2011 251 del 14 marzo 2012</w:t>
      </w:r>
    </w:p>
    <w:p>
      <w:pPr>
        <w:pStyle w:val="Heading2"/>
      </w:pPr>
      <w:r>
        <w:t>Regeste</w:t>
      </w:r>
    </w:p>
    <w:p>
      <w:r>
        <w:t>Quartalsabrechnung (1. März 2010 bis 31. Mai 2010) des Kantons Basel-Landschaft betreffend A.</w:t>
      </w:r>
    </w:p>
    <w:p>
      <w:pPr>
        <w:pStyle w:val="Heading2"/>
      </w:pPr>
      <w:r>
        <w:t>Erwägungen</w:t>
      </w:r>
    </w:p>
    <w:p>
      <w:r>
        <w:rPr>
          <w:b/>
        </w:rPr>
        <w:t>E. 2</w:t>
      </w:r>
    </w:p>
    <w:p>
      <w:r>
        <w:t>Das ZUG bestimmt, welcher Kanton für die Unterstützung eines Bedürftigen, der sich in der Schweiz aufhält, zuständig ist und regelt den Ersatz von Unterstützungskosten unter den Kantonen (Art. 1 Abs. 1 und 2 ZUG). Gemäss Art. 34 Abs. 1 ZUG kann der Kanton, dessen Kostenersatzforderung durch rechtzeitige Einsprache abgelehnt worden ist, und der auf seine Forderung nicht oder nur teilweise verzichten will oder auf Richtigstellung beharrt, zunächst versuchen, sich mit dem Einsprecher zu verständigen und ihn zum Rückzug der Einsprache zu bewegen. Gelingt dies nicht, so muss er gemäss Art. 34 Abs. 1 ZUG die Einsprache mit einem formellen Abweisungsbeschluss oder Einspracheentscheid abweisen. Der Einspracheentscheid ist dem einsprechenden Kanton schriftlich und mit einer Rechtsmittelbelehrung zu eröffnen. Wie die Einsprache, so muss auch der Einspracheentscheid begründet erfolgen. Ausserdem ist im Einspracheentscheid ausdrücklich auf Art. 34 Abs. 1 ZUG zu verweisen und festzuhalten, dass es sich um einen Entscheid im Sinne dieser Bestimmung handelt. Des Weiteren hält das ZUG in Art. 34 Abs. 2 fest, dass ein formrichtiger Einspracheentscheid rechtskräftig wird, falls der einsprechende Kanton nicht binnen 30 Tagen nach dem Empfang bei der zuständigen richterlichen Behörde des Kantons Beschwerde erhebt.</w:t>
      </w:r>
    </w:p>
    <w:p>
      <w:r>
        <w:rPr>
          <w:b/>
        </w:rPr>
        <w:t>E. 3</w:t>
      </w:r>
    </w:p>
    <w:p>
      <w:r>
        <w:t>Nach § 27 des Verwaltungsverfahrensgesetzes Basel-Landschaft (VwVG BL) vom 13. Juni 1988 unterliegen erstinstanzliche Verfügungen, Verfügungen letztinstanzlicher Gemeindebehörden und Verfügungen der Schulräte des Kantons und der Einwohnergemeinden der Verwaltungsbeschwerde. Ist eine Verfügung durch Einsprache anfechtbar, so unterliegt erst der Einspracheentscheid der Beschwerde (vgl. § 27 VwVG BL). Gemäss § 29 VwVG BL ist der Regierungsrat die Beschwerdeinstanz, welche Beschwerden gegen Verfügungen kantonaler Dienststellen und ihrer Ämter beurteilt (lit. e).</w:t>
      </w:r>
    </w:p>
    <w:p>
      <w:r>
        <w:rPr>
          <w:b/>
        </w:rPr>
        <w:t>E. 4</w:t>
      </w:r>
    </w:p>
    <w:p>
      <w:r>
        <w:t>Es stellt sich die Frage, ob die verwaltungsgerichtliche Beschwerde ans Kantonsgericht zulässig ist und das Kantonsgericht darauf einzutreten hat.</w:t>
      </w:r>
    </w:p>
    <w:p>
      <w:r>
        <w:rPr>
          <w:b/>
        </w:rPr>
        <w:t>E. 4.1</w:t>
      </w:r>
    </w:p>
    <w:p>
      <w:r>
        <w:t>Vorliegend handelt es sich beim Anfechtungsobjekt um den Einspracheentscheid des Kantonalen Sozialamtes vom 16. Juni 2011. Das Schreiben ist als Verfügung zu qualifizieren. Der Beschwerdeführer ging aufgrund der Rechtsmittelbelehrung auf der Verfügung davon aus, dass das Kantonsgericht zur Beurteilung der Beschwerde zuständig sei. Der Beschwerdegegner nahm zur Frage der Zuständigkeit nicht Stellung. Da es sich vorliegend aber nicht um ein Anfechtungsobjekt im Sinne von § 43 VPO handelt, ist die Beschwerde ans Kantonsgericht gestützt auf die VPO nicht vorgesehen.</w:t>
      </w:r>
    </w:p>
    <w:p>
      <w:r>
        <w:rPr>
          <w:b/>
        </w:rPr>
        <w:t>E. 4.2</w:t>
      </w:r>
    </w:p>
    <w:p>
      <w:r>
        <w:t>Der vorliegend angefochtene Einspracheentscheid des Kantonalen Sozialamtes stellt eine Verfügung im Sinne von § 27 Abs. 2 VwVG BL dar. Es handelt sich weiter um eine Verfügung eines kantonalen Amtes und diese unterliegt gemäss § 29 Abs. 1 lit. e VwVG BL der Verwaltungsbeschwerde an den Regierungsrat. Dies hat zur Folge, dass der Regierungsrat gemäss VwVG BL zuständig ist für die Überprüfung des Einspracheentscheides des Kantonalen Sozialamtes.</w:t>
      </w:r>
    </w:p>
    <w:p>
      <w:r>
        <w:rPr>
          <w:b/>
        </w:rPr>
        <w:t>E. 4.3</w:t>
      </w:r>
    </w:p>
    <w:p>
      <w:r>
        <w:t>Es ist nun zu prüfen, ob eine Beschwerde gegen einen Einspracheentscheid des Kantonalen Sozialamtes gestützt auf das ZUG direkt ans Kantonsgericht zulässig ist. Im Entscheid des Bundesgerichts 8C.115/2007, E.1.2.1 vom 23. Januar 2008 wurde ausgeführt, dass durch Art. 34 Abs. 2 ZUG seit dem 1. Januar 2007 die Beschwerdemöglichkeit an eine kantonale richterliche Behörde vorgesehen ist. Durch die neue Regelung werde sichergestellt, dass eine letzte kantonale Gerichtsinstanz als Vorinstanz des Bundesgerichts entscheidet und damit den Anforderungen von Art. 86 des Bundesgesetzes über das Bundesgericht (BGG) vom 17. Juni 2005 entsprochen werde. Demzufolge ist es nicht Sinn und Zweck des ZUG in die innerkantonale Zuständigkeit einzugreifen und die Regelung schliesst eine innerkantonale Vorinstanz zum Kantonsgericht nicht aus. Die interne Regelung wird somit den Kantonen überlassen. Deshalb ist vorliegend der Instanzenzug gemäss VwVG BL massgebend.</w:t>
      </w:r>
    </w:p>
    <w:p>
      <w:r>
        <w:rPr>
          <w:b/>
        </w:rPr>
        <w:t>E. 5</w:t>
      </w:r>
    </w:p>
    <w:p>
      <w:r>
        <w:t>Zusammenfassend kann deshalb festgehalten werden, dass weder gestützt auf die gesetzlichen Bestimmungen der VPO und des ZUG noch gestützt auf die bundesgerichtliche Rechtssprechung eine Zuständigkeit des Kantonsgerichts bejaht werden kann. Vielmehr ergibt sich, dass gestützt auf das VwVG BL der Regierungsrat zur Behandlung der Beschwerde zuständig ist. Demzufolge kann auf die vorliegende Beschwerde nicht eingetreten werden und die Angelegenheit wird zuständigkeitshalber an den Regierungsrat des Kantons Basel-Landschaft überwiesen.</w:t>
      </w:r>
    </w:p>
    <w:p>
      <w:r>
        <w:rPr>
          <w:b/>
        </w:rPr>
        <w:t>E. 6</w:t>
      </w:r>
    </w:p>
    <w:p>
      <w:r>
        <w:t>Im Folgenden ist noch über die Kosten zu entscheiden. Gestützt auf § 20 Abs. 1 VPO in Verbindung mit § 20 Abs. 3 VPO werden die Verfahrenskosten der unterliegenden Partei auferlegt. Da der angefochtene Einspracheentscheid mit einer falschen Rechtsmittelbelehrung versehen war, werden dem Beschwerdeführer keine Kosten auferlegt. Gestützt auf § 20 Abs. 3 VPO werden auch der Vorinstanz keine Kosten auferlegt. Demgemäss wird e r k a n n t : 1. Auf die Beschwerde wird nicht eingetreten und die Angelegenheit wird zuständigkeitshalber an den Regierungsrat des Kantons Basel-Landschaft überwiesen. 2. Es werden keine Kosten erhoben. Der geleistete Kostenvorschuss in der Höhe von Fr. 1'400.-- wird dem Beschwerdeführer zurückerstattet.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